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63" w:rsidRPr="00325246" w:rsidRDefault="00200AAF">
      <w:pPr>
        <w:rPr>
          <w:rFonts w:ascii="Arial" w:hAnsi="Arial" w:cs="Arial"/>
          <w:b/>
          <w:sz w:val="26"/>
          <w:szCs w:val="26"/>
        </w:rPr>
      </w:pPr>
      <w:r w:rsidRPr="00325246">
        <w:rPr>
          <w:rFonts w:ascii="Arial" w:hAnsi="Arial" w:cs="Arial"/>
          <w:b/>
          <w:sz w:val="26"/>
          <w:szCs w:val="26"/>
        </w:rPr>
        <w:t xml:space="preserve">Teilhabe </w:t>
      </w:r>
      <w:r w:rsidR="00AA518F">
        <w:rPr>
          <w:rFonts w:ascii="Arial" w:hAnsi="Arial" w:cs="Arial"/>
          <w:b/>
          <w:sz w:val="26"/>
          <w:szCs w:val="26"/>
        </w:rPr>
        <w:t xml:space="preserve">und Selbstbestimmung </w:t>
      </w:r>
      <w:r w:rsidRPr="00325246">
        <w:rPr>
          <w:rFonts w:ascii="Arial" w:hAnsi="Arial" w:cs="Arial"/>
          <w:b/>
          <w:sz w:val="26"/>
          <w:szCs w:val="26"/>
        </w:rPr>
        <w:t>im Alter</w:t>
      </w:r>
    </w:p>
    <w:p w:rsidR="00200AAF" w:rsidRPr="00325246" w:rsidRDefault="00200AAF">
      <w:p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 xml:space="preserve">Ich fange jetzt mal mit den sinnvollen digitalen Hilfsmitteln an, deren Einsatz dazu beitragen die Selbstbestimmung und Teilhabe zu </w:t>
      </w:r>
      <w:r w:rsidR="00325246" w:rsidRPr="00325246">
        <w:rPr>
          <w:rFonts w:ascii="Arial" w:hAnsi="Arial" w:cs="Arial"/>
          <w:sz w:val="26"/>
          <w:szCs w:val="26"/>
        </w:rPr>
        <w:t xml:space="preserve">ermöglichen und zu </w:t>
      </w:r>
      <w:r w:rsidRPr="00325246">
        <w:rPr>
          <w:rFonts w:ascii="Arial" w:hAnsi="Arial" w:cs="Arial"/>
          <w:sz w:val="26"/>
          <w:szCs w:val="26"/>
        </w:rPr>
        <w:t>erleichtern. Dazu zählen:</w:t>
      </w:r>
    </w:p>
    <w:p w:rsidR="00200AAF" w:rsidRPr="00325246" w:rsidRDefault="00200AAF" w:rsidP="00200AAF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Knieorthese z.B. nach einem Schlaganfall</w:t>
      </w:r>
    </w:p>
    <w:p w:rsidR="00D22078" w:rsidRPr="00325246" w:rsidRDefault="00A37221" w:rsidP="00200AAF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Exoskelett </w:t>
      </w:r>
      <w:r w:rsidR="00D22078" w:rsidRPr="00325246">
        <w:rPr>
          <w:rFonts w:ascii="Arial" w:hAnsi="Arial" w:cs="Arial"/>
          <w:sz w:val="26"/>
          <w:szCs w:val="26"/>
        </w:rPr>
        <w:t>des Daumen, wenn dieser nicht mehr beweglich ist</w:t>
      </w:r>
    </w:p>
    <w:p w:rsidR="00D22078" w:rsidRPr="00325246" w:rsidRDefault="00D22078" w:rsidP="00200AAF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Elektronische Medikamentenspender – Automatische Verblisterung in Dosiertütchen</w:t>
      </w:r>
    </w:p>
    <w:p w:rsidR="00057FD8" w:rsidRPr="00325246" w:rsidRDefault="00057FD8" w:rsidP="00200AAF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Apps, mit dem über Aktivitä</w:t>
      </w:r>
      <w:r w:rsidR="007D6F4A" w:rsidRPr="00325246">
        <w:rPr>
          <w:rFonts w:ascii="Arial" w:hAnsi="Arial" w:cs="Arial"/>
          <w:sz w:val="26"/>
          <w:szCs w:val="26"/>
        </w:rPr>
        <w:t>ten im Nahraum  informiert wird</w:t>
      </w:r>
    </w:p>
    <w:p w:rsidR="007D6F4A" w:rsidRPr="00325246" w:rsidRDefault="007D6F4A" w:rsidP="007D6F4A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 xml:space="preserve">Der Einsatz von telemedizinischen Verfahren kann  dazu beitragen, dass die regelmäßige Kontrolle von Laborparametern in der eigenen Häuslichkeit durchgeführt werden kann und damit die Belastung von anstrengenden </w:t>
      </w:r>
      <w:r w:rsidR="00325246" w:rsidRPr="00325246">
        <w:rPr>
          <w:rFonts w:ascii="Arial" w:hAnsi="Arial" w:cs="Arial"/>
          <w:sz w:val="26"/>
          <w:szCs w:val="26"/>
        </w:rPr>
        <w:t xml:space="preserve">Transporten durch </w:t>
      </w:r>
      <w:r w:rsidRPr="00325246">
        <w:rPr>
          <w:rFonts w:ascii="Arial" w:hAnsi="Arial" w:cs="Arial"/>
          <w:sz w:val="26"/>
          <w:szCs w:val="26"/>
        </w:rPr>
        <w:t>Termine außerhalb der eignen vier Wände entfällt bzw. begrenzbar ist.</w:t>
      </w:r>
    </w:p>
    <w:p w:rsidR="00057FD8" w:rsidRPr="00325246" w:rsidRDefault="00325246" w:rsidP="00057FD8">
      <w:p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 xml:space="preserve">Bei einem Teil der Anwendungen von </w:t>
      </w:r>
      <w:r w:rsidR="00057FD8" w:rsidRPr="00325246">
        <w:rPr>
          <w:rFonts w:ascii="Arial" w:hAnsi="Arial" w:cs="Arial"/>
          <w:sz w:val="26"/>
          <w:szCs w:val="26"/>
        </w:rPr>
        <w:t>Pflegerobotik</w:t>
      </w:r>
      <w:r w:rsidRPr="00325246">
        <w:rPr>
          <w:rFonts w:ascii="Arial" w:hAnsi="Arial" w:cs="Arial"/>
          <w:sz w:val="26"/>
          <w:szCs w:val="26"/>
        </w:rPr>
        <w:t xml:space="preserve"> wird davon ausgegangen, dass die</w:t>
      </w:r>
      <w:r w:rsidR="00057FD8" w:rsidRPr="00325246">
        <w:rPr>
          <w:rFonts w:ascii="Arial" w:hAnsi="Arial" w:cs="Arial"/>
          <w:sz w:val="26"/>
          <w:szCs w:val="26"/>
        </w:rPr>
        <w:t xml:space="preserve"> zwischenmenschlic</w:t>
      </w:r>
      <w:r w:rsidRPr="00325246">
        <w:rPr>
          <w:rFonts w:ascii="Arial" w:hAnsi="Arial" w:cs="Arial"/>
          <w:sz w:val="26"/>
          <w:szCs w:val="26"/>
        </w:rPr>
        <w:t xml:space="preserve">he Kommunikation </w:t>
      </w:r>
      <w:r w:rsidR="00057FD8" w:rsidRPr="00325246">
        <w:rPr>
          <w:rFonts w:ascii="Arial" w:hAnsi="Arial" w:cs="Arial"/>
          <w:sz w:val="26"/>
          <w:szCs w:val="26"/>
        </w:rPr>
        <w:t>durch einen Roboter ersetzt werden</w:t>
      </w:r>
      <w:r w:rsidRPr="00325246">
        <w:rPr>
          <w:rFonts w:ascii="Arial" w:hAnsi="Arial" w:cs="Arial"/>
          <w:sz w:val="26"/>
          <w:szCs w:val="26"/>
        </w:rPr>
        <w:t xml:space="preserve"> kann</w:t>
      </w:r>
      <w:r w:rsidR="00057FD8" w:rsidRPr="00325246">
        <w:rPr>
          <w:rFonts w:ascii="Arial" w:hAnsi="Arial" w:cs="Arial"/>
          <w:sz w:val="26"/>
          <w:szCs w:val="26"/>
        </w:rPr>
        <w:t xml:space="preserve">. </w:t>
      </w:r>
    </w:p>
    <w:p w:rsidR="00325246" w:rsidRPr="00325246" w:rsidRDefault="00325246" w:rsidP="00057FD8">
      <w:p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An dieser Stelle sind aber sehr deutliche Grenzen angebracht.</w:t>
      </w:r>
    </w:p>
    <w:p w:rsidR="00325246" w:rsidRPr="00325246" w:rsidRDefault="007D6F4A" w:rsidP="00057FD8">
      <w:p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Pflegebedürftigkeit und chronische Erkrankungen werden von vielen langfristig erkrankten Patient *innen als existentielle Krise wahrgenommen, insbesondere dann, wenn die Pflegebedürftigkeit oder die Erkrankung mit einem Verlust von Fähigkeiten, Eigenständigkeit und Selbstbestimmung einhergeht. Solche Patient*inn</w:t>
      </w:r>
      <w:r w:rsidR="00325246" w:rsidRPr="00325246">
        <w:rPr>
          <w:rFonts w:ascii="Arial" w:hAnsi="Arial" w:cs="Arial"/>
          <w:sz w:val="26"/>
          <w:szCs w:val="26"/>
        </w:rPr>
        <w:t>en und Pflegebedürftige wünschen sich</w:t>
      </w:r>
      <w:r w:rsidRPr="00325246">
        <w:rPr>
          <w:rFonts w:ascii="Arial" w:hAnsi="Arial" w:cs="Arial"/>
          <w:sz w:val="26"/>
          <w:szCs w:val="26"/>
        </w:rPr>
        <w:t xml:space="preserve"> von ihrem/ihrer Arzt/Ärztin, den Beschäftigten in der Pflege und den therapeutischen Berufen nicht nur technische, medizinische und pflegerischtherapeutische Expertise, sondern vor allem auch Empathie und emotionale Anteilnahme.</w:t>
      </w:r>
    </w:p>
    <w:p w:rsidR="007D6F4A" w:rsidRPr="00325246" w:rsidRDefault="007D6F4A" w:rsidP="00057FD8">
      <w:p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Empathie, menschliche und körperliche Zuwendung sind daher zentrale Aspekte guter Pflege und der medizinischer Versorgung und sollten auch im grünen Kontext im Zentrum des Diskurses stehen.</w:t>
      </w:r>
    </w:p>
    <w:p w:rsidR="007D6F4A" w:rsidRPr="00325246" w:rsidRDefault="007D6F4A" w:rsidP="00057FD8">
      <w:p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Pflege ist in besonderer Weise Arbeit in der Privatsphäre. Im körp</w:t>
      </w:r>
      <w:r w:rsidR="00325246" w:rsidRPr="00325246">
        <w:rPr>
          <w:rFonts w:ascii="Arial" w:hAnsi="Arial" w:cs="Arial"/>
          <w:sz w:val="26"/>
          <w:szCs w:val="26"/>
        </w:rPr>
        <w:t>erlichen Kontakt und in der zwi</w:t>
      </w:r>
      <w:r w:rsidRPr="00325246">
        <w:rPr>
          <w:rFonts w:ascii="Arial" w:hAnsi="Arial" w:cs="Arial"/>
          <w:sz w:val="26"/>
          <w:szCs w:val="26"/>
        </w:rPr>
        <w:t>schenmenschlichen Beziehung kommt es zur großen Nähe, tabuisierte Bereiche der Intimsphäre werden berührt. Die situations- und kontextgebundene Beziehungsarbeit erfordert eine mehrschichtige Wahrnehmung der Gesamtsituation. Aus meiner Sicht sind daher Zweifel angebracht, ob Roboter und Maschinen diese komplexe soziale und emotionale Kompetenz erbringen können.</w:t>
      </w:r>
    </w:p>
    <w:p w:rsidR="007D6F4A" w:rsidRPr="00325246" w:rsidRDefault="007D6F4A" w:rsidP="00057FD8">
      <w:p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lastRenderedPageBreak/>
        <w:t>Bezogen auf die Kommunikation stellen sich für den Pflegebedürftigen Fragen, wie:</w:t>
      </w:r>
    </w:p>
    <w:p w:rsidR="00057FD8" w:rsidRPr="00325246" w:rsidRDefault="00057FD8" w:rsidP="00057FD8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Wie lange will ich eine lebensverlängernde Behandlung zulassen?</w:t>
      </w:r>
    </w:p>
    <w:p w:rsidR="00057FD8" w:rsidRPr="00325246" w:rsidRDefault="00057FD8" w:rsidP="00057FD8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Wie gehe ich mit den Einschränkungen einer schweren Erkrankung um?</w:t>
      </w:r>
      <w:r w:rsidR="007D6F4A" w:rsidRPr="00325246">
        <w:rPr>
          <w:rFonts w:ascii="Arial" w:hAnsi="Arial" w:cs="Arial"/>
          <w:sz w:val="26"/>
          <w:szCs w:val="26"/>
        </w:rPr>
        <w:t xml:space="preserve"> Ist mein Leben jemals wieder lebenswert?</w:t>
      </w:r>
    </w:p>
    <w:p w:rsidR="00057FD8" w:rsidRPr="00325246" w:rsidRDefault="00057FD8" w:rsidP="00057FD8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Wie möchte ich die letzten Jahre/Wochen/Monate meines Lebens verbringen?</w:t>
      </w:r>
    </w:p>
    <w:p w:rsidR="00057FD8" w:rsidRPr="00325246" w:rsidRDefault="00057FD8" w:rsidP="00057FD8">
      <w:pPr>
        <w:pStyle w:val="Listenabsatz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>Wem vertraue ich, wenn es darum geht, dass ich nicht mehr selbst entscheiden kann?</w:t>
      </w:r>
    </w:p>
    <w:p w:rsidR="00057FD8" w:rsidRPr="00325246" w:rsidRDefault="00057FD8" w:rsidP="00057FD8">
      <w:pPr>
        <w:rPr>
          <w:rFonts w:ascii="Arial" w:hAnsi="Arial" w:cs="Arial"/>
          <w:sz w:val="26"/>
          <w:szCs w:val="26"/>
        </w:rPr>
      </w:pPr>
      <w:r w:rsidRPr="00325246">
        <w:rPr>
          <w:rFonts w:ascii="Arial" w:hAnsi="Arial" w:cs="Arial"/>
          <w:sz w:val="26"/>
          <w:szCs w:val="26"/>
        </w:rPr>
        <w:t xml:space="preserve">Für </w:t>
      </w:r>
      <w:r w:rsidR="00325246">
        <w:rPr>
          <w:rFonts w:ascii="Arial" w:hAnsi="Arial" w:cs="Arial"/>
          <w:sz w:val="26"/>
          <w:szCs w:val="26"/>
        </w:rPr>
        <w:t xml:space="preserve">die Auseinandersetzung mit solchen Fragen </w:t>
      </w:r>
      <w:r w:rsidRPr="00325246">
        <w:rPr>
          <w:rFonts w:ascii="Arial" w:hAnsi="Arial" w:cs="Arial"/>
          <w:sz w:val="26"/>
          <w:szCs w:val="26"/>
        </w:rPr>
        <w:t xml:space="preserve">ist die Kommunikation mit einem echten Menschen erforderlich. </w:t>
      </w:r>
      <w:r w:rsidR="006B5477" w:rsidRPr="00325246">
        <w:rPr>
          <w:rFonts w:ascii="Arial" w:hAnsi="Arial" w:cs="Arial"/>
          <w:sz w:val="26"/>
          <w:szCs w:val="26"/>
        </w:rPr>
        <w:t xml:space="preserve">Hier reicht </w:t>
      </w:r>
      <w:r w:rsidR="007D6F4A" w:rsidRPr="00325246">
        <w:rPr>
          <w:rFonts w:ascii="Arial" w:hAnsi="Arial" w:cs="Arial"/>
          <w:sz w:val="26"/>
          <w:szCs w:val="26"/>
        </w:rPr>
        <w:t xml:space="preserve">auch oft nicht </w:t>
      </w:r>
      <w:r w:rsidR="006B5477" w:rsidRPr="00325246">
        <w:rPr>
          <w:rFonts w:ascii="Arial" w:hAnsi="Arial" w:cs="Arial"/>
          <w:sz w:val="26"/>
          <w:szCs w:val="26"/>
        </w:rPr>
        <w:t>die einmalige Kommunikation, sondern die regelmäßige Präsenz von Gesprächspartner*innen.</w:t>
      </w:r>
      <w:bookmarkStart w:id="0" w:name="_GoBack"/>
      <w:bookmarkEnd w:id="0"/>
    </w:p>
    <w:sectPr w:rsidR="00057FD8" w:rsidRPr="0032524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68" w:rsidRDefault="00031F68" w:rsidP="00A37221">
      <w:pPr>
        <w:spacing w:after="0" w:line="240" w:lineRule="auto"/>
      </w:pPr>
      <w:r>
        <w:separator/>
      </w:r>
    </w:p>
  </w:endnote>
  <w:endnote w:type="continuationSeparator" w:id="0">
    <w:p w:rsidR="00031F68" w:rsidRDefault="00031F68" w:rsidP="00A3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8042750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37221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A37221" w:rsidRDefault="00A3722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A37221" w:rsidRDefault="00A3722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A518F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A37221" w:rsidRDefault="00A3722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68" w:rsidRDefault="00031F68" w:rsidP="00A37221">
      <w:pPr>
        <w:spacing w:after="0" w:line="240" w:lineRule="auto"/>
      </w:pPr>
      <w:r>
        <w:separator/>
      </w:r>
    </w:p>
  </w:footnote>
  <w:footnote w:type="continuationSeparator" w:id="0">
    <w:p w:rsidR="00031F68" w:rsidRDefault="00031F68" w:rsidP="00A3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1C7"/>
    <w:multiLevelType w:val="hybridMultilevel"/>
    <w:tmpl w:val="1F7E8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C61CA"/>
    <w:multiLevelType w:val="hybridMultilevel"/>
    <w:tmpl w:val="0F686246"/>
    <w:lvl w:ilvl="0" w:tplc="0804F8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AF"/>
    <w:rsid w:val="00031F68"/>
    <w:rsid w:val="00057FD8"/>
    <w:rsid w:val="00200AAF"/>
    <w:rsid w:val="00325246"/>
    <w:rsid w:val="003C5E73"/>
    <w:rsid w:val="00453124"/>
    <w:rsid w:val="006B5477"/>
    <w:rsid w:val="007D6F4A"/>
    <w:rsid w:val="00A25C46"/>
    <w:rsid w:val="00A37221"/>
    <w:rsid w:val="00AA518F"/>
    <w:rsid w:val="00AE73F3"/>
    <w:rsid w:val="00BE070C"/>
    <w:rsid w:val="00D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0AA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7221"/>
  </w:style>
  <w:style w:type="paragraph" w:styleId="Fuzeile">
    <w:name w:val="footer"/>
    <w:basedOn w:val="Standard"/>
    <w:link w:val="FuzeileZchn"/>
    <w:uiPriority w:val="99"/>
    <w:unhideWhenUsed/>
    <w:rsid w:val="00A3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7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0AA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7221"/>
  </w:style>
  <w:style w:type="paragraph" w:styleId="Fuzeile">
    <w:name w:val="footer"/>
    <w:basedOn w:val="Standard"/>
    <w:link w:val="FuzeileZchn"/>
    <w:uiPriority w:val="99"/>
    <w:unhideWhenUsed/>
    <w:rsid w:val="00A3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Schwarz</dc:creator>
  <cp:lastModifiedBy>Antonia Schwarz</cp:lastModifiedBy>
  <cp:revision>2</cp:revision>
  <cp:lastPrinted>2020-02-17T17:26:00Z</cp:lastPrinted>
  <dcterms:created xsi:type="dcterms:W3CDTF">2020-03-02T18:25:00Z</dcterms:created>
  <dcterms:modified xsi:type="dcterms:W3CDTF">2020-03-02T18:25:00Z</dcterms:modified>
</cp:coreProperties>
</file>